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2B7B" w14:textId="77777777" w:rsidR="006F3613" w:rsidRPr="00B71C0D" w:rsidRDefault="006F3613" w:rsidP="00B71C0D">
      <w:pPr>
        <w:spacing w:before="100" w:beforeAutospacing="1" w:after="100" w:afterAutospacing="1" w:line="300" w:lineRule="atLeast"/>
        <w:jc w:val="center"/>
        <w:outlineLvl w:val="0"/>
        <w:rPr>
          <w:rFonts w:eastAsia="Times New Roman" w:cs="Segoe UI"/>
          <w:b/>
          <w:bCs/>
          <w:kern w:val="36"/>
          <w:lang w:eastAsia="en-GB"/>
        </w:rPr>
      </w:pPr>
      <w:r w:rsidRPr="00B71C0D">
        <w:rPr>
          <w:rFonts w:eastAsia="Times New Roman" w:cs="Segoe UI"/>
          <w:b/>
          <w:bCs/>
          <w:kern w:val="36"/>
          <w:lang w:eastAsia="en-GB"/>
        </w:rPr>
        <w:t>MEDIA RELEASE</w:t>
      </w:r>
    </w:p>
    <w:p w14:paraId="083ABC98" w14:textId="2EF1A06A" w:rsidR="006F3613" w:rsidRPr="00B71C0D" w:rsidRDefault="00013DF6" w:rsidP="006F3613">
      <w:pPr>
        <w:spacing w:before="100" w:beforeAutospacing="1" w:after="100" w:afterAutospacing="1" w:line="300" w:lineRule="atLeast"/>
        <w:rPr>
          <w:rFonts w:eastAsia="Times New Roman" w:cs="Segoe UI"/>
          <w:sz w:val="22"/>
          <w:szCs w:val="22"/>
          <w:lang w:eastAsia="en-GB"/>
        </w:rPr>
      </w:pPr>
      <w:r>
        <w:rPr>
          <w:rFonts w:eastAsia="Times New Roman" w:cs="Segoe UI"/>
          <w:b/>
          <w:bCs/>
          <w:sz w:val="22"/>
          <w:szCs w:val="22"/>
          <w:lang w:eastAsia="en-GB"/>
        </w:rPr>
        <w:t>30</w:t>
      </w:r>
      <w:r w:rsidR="00B71C0D">
        <w:rPr>
          <w:rFonts w:eastAsia="Times New Roman" w:cs="Segoe UI"/>
          <w:b/>
          <w:bCs/>
          <w:sz w:val="22"/>
          <w:szCs w:val="22"/>
          <w:lang w:eastAsia="en-GB"/>
        </w:rPr>
        <w:t xml:space="preserve"> June 2026</w:t>
      </w:r>
    </w:p>
    <w:p w14:paraId="5061BB75" w14:textId="45FA71E4" w:rsidR="006F3613" w:rsidRPr="00B71C0D" w:rsidRDefault="006F3613" w:rsidP="00B71C0D">
      <w:pPr>
        <w:spacing w:before="100" w:beforeAutospacing="1" w:after="100" w:afterAutospacing="1" w:line="300" w:lineRule="atLeast"/>
        <w:jc w:val="center"/>
        <w:outlineLvl w:val="1"/>
        <w:rPr>
          <w:rFonts w:eastAsia="Times New Roman" w:cs="Segoe UI"/>
          <w:b/>
          <w:bCs/>
          <w:lang w:eastAsia="en-GB"/>
        </w:rPr>
      </w:pPr>
      <w:r w:rsidRPr="00B71C0D">
        <w:rPr>
          <w:rFonts w:eastAsia="Times New Roman" w:cs="Segoe UI"/>
          <w:b/>
          <w:bCs/>
          <w:lang w:eastAsia="en-GB"/>
        </w:rPr>
        <w:t xml:space="preserve">New </w:t>
      </w:r>
      <w:r w:rsidR="00B71C0D">
        <w:rPr>
          <w:rFonts w:eastAsia="Times New Roman" w:cs="Segoe UI"/>
          <w:b/>
          <w:bCs/>
          <w:lang w:eastAsia="en-GB"/>
        </w:rPr>
        <w:t>analysis</w:t>
      </w:r>
      <w:r w:rsidRPr="00B71C0D">
        <w:rPr>
          <w:rFonts w:eastAsia="Times New Roman" w:cs="Segoe UI"/>
          <w:b/>
          <w:bCs/>
          <w:lang w:eastAsia="en-GB"/>
        </w:rPr>
        <w:t xml:space="preserve"> finds mining tyre regulations failing to deliver </w:t>
      </w:r>
      <w:r w:rsidR="00B71C0D" w:rsidRPr="00B71C0D">
        <w:rPr>
          <w:rFonts w:eastAsia="Times New Roman" w:cs="Segoe UI"/>
          <w:b/>
          <w:bCs/>
          <w:lang w:eastAsia="en-GB"/>
        </w:rPr>
        <w:t>circular economy outcomes</w:t>
      </w:r>
    </w:p>
    <w:p w14:paraId="506156BA" w14:textId="77777777" w:rsidR="006F3613" w:rsidRPr="00B71C0D" w:rsidRDefault="006F3613" w:rsidP="006F3613">
      <w:p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A new report commissioned by the Australian Tyre Recyclers Association (ATRA) has found that current regulatory settings across Australia’s major mining states are failing to support the recovery and recycling of off</w:t>
      </w:r>
      <w:r w:rsidRPr="00B71C0D">
        <w:rPr>
          <w:rFonts w:eastAsia="Times New Roman" w:cs="Segoe UI"/>
          <w:sz w:val="22"/>
          <w:szCs w:val="22"/>
          <w:lang w:eastAsia="en-GB"/>
        </w:rPr>
        <w:noBreakHyphen/>
        <w:t>the</w:t>
      </w:r>
      <w:r w:rsidRPr="00B71C0D">
        <w:rPr>
          <w:rFonts w:eastAsia="Times New Roman" w:cs="Segoe UI"/>
          <w:sz w:val="22"/>
          <w:szCs w:val="22"/>
          <w:lang w:eastAsia="en-GB"/>
        </w:rPr>
        <w:noBreakHyphen/>
        <w:t>road (OTR) mining tyres.</w:t>
      </w:r>
    </w:p>
    <w:p w14:paraId="41490951" w14:textId="25C1DBBC" w:rsidR="006F3613" w:rsidRPr="00B71C0D" w:rsidRDefault="006F3613" w:rsidP="006F3613">
      <w:p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The report, prepared by Urban EP, reviewed regulatory and licensing frameworks in Western Australia, New South Wales and Queensland. It concludes that despite significant investment in recycling infrastructure, recovery rates for mining tyres remain critically low</w:t>
      </w:r>
      <w:r w:rsidR="00013DF6">
        <w:rPr>
          <w:rFonts w:eastAsia="Times New Roman" w:cs="Segoe UI"/>
          <w:sz w:val="22"/>
          <w:szCs w:val="22"/>
          <w:lang w:eastAsia="en-GB"/>
        </w:rPr>
        <w:t xml:space="preserve"> - </w:t>
      </w:r>
      <w:r w:rsidRPr="00B71C0D">
        <w:rPr>
          <w:rFonts w:eastAsia="Times New Roman" w:cs="Segoe UI"/>
          <w:sz w:val="22"/>
          <w:szCs w:val="22"/>
          <w:lang w:eastAsia="en-GB"/>
        </w:rPr>
        <w:t>at around 2%</w:t>
      </w:r>
      <w:r w:rsidR="00013DF6">
        <w:rPr>
          <w:rFonts w:eastAsia="Times New Roman" w:cs="Segoe UI"/>
          <w:sz w:val="22"/>
          <w:szCs w:val="22"/>
          <w:lang w:eastAsia="en-GB"/>
        </w:rPr>
        <w:t xml:space="preserve"> -</w:t>
      </w:r>
      <w:r w:rsidRPr="00B71C0D">
        <w:rPr>
          <w:rFonts w:eastAsia="Times New Roman" w:cs="Segoe UI"/>
          <w:sz w:val="22"/>
          <w:szCs w:val="22"/>
          <w:lang w:eastAsia="en-GB"/>
        </w:rPr>
        <w:t xml:space="preserve">with </w:t>
      </w:r>
      <w:proofErr w:type="gramStart"/>
      <w:r w:rsidRPr="00B71C0D">
        <w:rPr>
          <w:rFonts w:eastAsia="Times New Roman" w:cs="Segoe UI"/>
          <w:sz w:val="22"/>
          <w:szCs w:val="22"/>
          <w:lang w:eastAsia="en-GB"/>
        </w:rPr>
        <w:t>the vast majority of</w:t>
      </w:r>
      <w:proofErr w:type="gramEnd"/>
      <w:r w:rsidRPr="00B71C0D">
        <w:rPr>
          <w:rFonts w:eastAsia="Times New Roman" w:cs="Segoe UI"/>
          <w:sz w:val="22"/>
          <w:szCs w:val="22"/>
          <w:lang w:eastAsia="en-GB"/>
        </w:rPr>
        <w:t xml:space="preserve"> tyres still disposed of on-site through “in</w:t>
      </w:r>
      <w:r w:rsidRPr="00B71C0D">
        <w:rPr>
          <w:rFonts w:eastAsia="Times New Roman" w:cs="Segoe UI"/>
          <w:sz w:val="22"/>
          <w:szCs w:val="22"/>
          <w:lang w:eastAsia="en-GB"/>
        </w:rPr>
        <w:noBreakHyphen/>
        <w:t>pit” burial.</w:t>
      </w:r>
    </w:p>
    <w:p w14:paraId="29F749E9" w14:textId="383BE39B" w:rsidR="006F3613" w:rsidRPr="00B71C0D" w:rsidRDefault="006F3613" w:rsidP="006F3613">
      <w:p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ATRA said the findings highlight a fundamental misalignment between existing regulations and Australia’s</w:t>
      </w:r>
      <w:r w:rsidR="00B71C0D">
        <w:rPr>
          <w:rFonts w:eastAsia="Times New Roman" w:cs="Segoe UI"/>
          <w:sz w:val="22"/>
          <w:szCs w:val="22"/>
          <w:lang w:eastAsia="en-GB"/>
        </w:rPr>
        <w:t xml:space="preserve"> and the states of WA, QLD and NSW</w:t>
      </w:r>
      <w:r w:rsidRPr="00B71C0D">
        <w:rPr>
          <w:rFonts w:eastAsia="Times New Roman" w:cs="Segoe UI"/>
          <w:sz w:val="22"/>
          <w:szCs w:val="22"/>
          <w:lang w:eastAsia="en-GB"/>
        </w:rPr>
        <w:t xml:space="preserve"> circular economy objectives.</w:t>
      </w:r>
    </w:p>
    <w:p w14:paraId="0EDB2F30" w14:textId="1167051D" w:rsidR="006F3613" w:rsidRPr="00B71C0D" w:rsidRDefault="00B71C0D" w:rsidP="006F3613">
      <w:pPr>
        <w:spacing w:before="100" w:beforeAutospacing="1" w:after="100" w:afterAutospacing="1" w:line="300" w:lineRule="atLeast"/>
        <w:rPr>
          <w:rFonts w:eastAsia="Times New Roman" w:cs="Segoe UI"/>
          <w:sz w:val="22"/>
          <w:szCs w:val="22"/>
          <w:lang w:eastAsia="en-GB"/>
        </w:rPr>
      </w:pPr>
      <w:r>
        <w:rPr>
          <w:rFonts w:eastAsia="Times New Roman" w:cs="Segoe UI"/>
          <w:sz w:val="22"/>
          <w:szCs w:val="22"/>
          <w:lang w:eastAsia="en-GB"/>
        </w:rPr>
        <w:t>Robert Kelman, Executive Officer, ATRA, s</w:t>
      </w:r>
      <w:r w:rsidR="006F3613" w:rsidRPr="00B71C0D">
        <w:rPr>
          <w:rFonts w:eastAsia="Times New Roman" w:cs="Segoe UI"/>
          <w:sz w:val="22"/>
          <w:szCs w:val="22"/>
          <w:lang w:eastAsia="en-GB"/>
        </w:rPr>
        <w:t>aid</w:t>
      </w:r>
      <w:r>
        <w:rPr>
          <w:rFonts w:eastAsia="Times New Roman" w:cs="Segoe UI"/>
          <w:sz w:val="22"/>
          <w:szCs w:val="22"/>
          <w:lang w:eastAsia="en-GB"/>
        </w:rPr>
        <w:t>;</w:t>
      </w:r>
      <w:r w:rsidR="006F3613" w:rsidRPr="00B71C0D">
        <w:rPr>
          <w:rFonts w:eastAsia="Times New Roman" w:cs="Segoe UI"/>
          <w:sz w:val="22"/>
          <w:szCs w:val="22"/>
          <w:lang w:eastAsia="en-GB"/>
        </w:rPr>
        <w:t xml:space="preserve"> </w:t>
      </w:r>
      <w:r>
        <w:rPr>
          <w:rFonts w:eastAsia="Times New Roman" w:cs="Segoe UI"/>
          <w:sz w:val="22"/>
          <w:szCs w:val="22"/>
          <w:lang w:eastAsia="en-GB"/>
        </w:rPr>
        <w:t>‘</w:t>
      </w:r>
      <w:r w:rsidR="006F3613" w:rsidRPr="00B71C0D">
        <w:rPr>
          <w:rFonts w:eastAsia="Times New Roman" w:cs="Segoe UI"/>
          <w:sz w:val="22"/>
          <w:szCs w:val="22"/>
          <w:lang w:eastAsia="en-GB"/>
        </w:rPr>
        <w:t>the report confirms that current frameworks continue to favour disposal over recovery, even where viable recycling options now exist.</w:t>
      </w:r>
    </w:p>
    <w:p w14:paraId="09ADF91E" w14:textId="07A088E9" w:rsidR="006F3613" w:rsidRPr="00B71C0D" w:rsidRDefault="00B71C0D" w:rsidP="006F3613">
      <w:pPr>
        <w:spacing w:before="100" w:beforeAutospacing="1" w:after="100" w:afterAutospacing="1" w:line="300" w:lineRule="atLeast"/>
        <w:rPr>
          <w:rFonts w:eastAsia="Times New Roman" w:cs="Segoe UI"/>
          <w:sz w:val="22"/>
          <w:szCs w:val="22"/>
          <w:lang w:eastAsia="en-GB"/>
        </w:rPr>
      </w:pPr>
      <w:r>
        <w:rPr>
          <w:rFonts w:eastAsia="Times New Roman" w:cs="Segoe UI"/>
          <w:sz w:val="22"/>
          <w:szCs w:val="22"/>
          <w:lang w:eastAsia="en-GB"/>
        </w:rPr>
        <w:t>‘</w:t>
      </w:r>
      <w:r w:rsidR="006F3613" w:rsidRPr="00B71C0D">
        <w:rPr>
          <w:rFonts w:eastAsia="Times New Roman" w:cs="Segoe UI"/>
          <w:sz w:val="22"/>
          <w:szCs w:val="22"/>
          <w:lang w:eastAsia="en-GB"/>
        </w:rPr>
        <w:t>Australia</w:t>
      </w:r>
      <w:r>
        <w:rPr>
          <w:rFonts w:eastAsia="Times New Roman" w:cs="Segoe UI"/>
          <w:sz w:val="22"/>
          <w:szCs w:val="22"/>
          <w:lang w:eastAsia="en-GB"/>
        </w:rPr>
        <w:t>n recyclers with government support</w:t>
      </w:r>
      <w:r w:rsidR="006F3613" w:rsidRPr="00B71C0D">
        <w:rPr>
          <w:rFonts w:eastAsia="Times New Roman" w:cs="Segoe UI"/>
          <w:sz w:val="22"/>
          <w:szCs w:val="22"/>
          <w:lang w:eastAsia="en-GB"/>
        </w:rPr>
        <w:t xml:space="preserve"> ha</w:t>
      </w:r>
      <w:r>
        <w:rPr>
          <w:rFonts w:eastAsia="Times New Roman" w:cs="Segoe UI"/>
          <w:sz w:val="22"/>
          <w:szCs w:val="22"/>
          <w:lang w:eastAsia="en-GB"/>
        </w:rPr>
        <w:t>ve</w:t>
      </w:r>
      <w:r w:rsidR="006F3613" w:rsidRPr="00B71C0D">
        <w:rPr>
          <w:rFonts w:eastAsia="Times New Roman" w:cs="Segoe UI"/>
          <w:sz w:val="22"/>
          <w:szCs w:val="22"/>
          <w:lang w:eastAsia="en-GB"/>
        </w:rPr>
        <w:t xml:space="preserve"> invested heavily in tyre recycling capability, including specialised infrastructure to process large OTR mining tyres. However, these facilities are being significantly underutilised because regulatory settings still allow low-cost on-site disposal to remain the default option,</w:t>
      </w:r>
      <w:r>
        <w:rPr>
          <w:rFonts w:eastAsia="Times New Roman" w:cs="Segoe UI"/>
          <w:sz w:val="22"/>
          <w:szCs w:val="22"/>
          <w:lang w:eastAsia="en-GB"/>
        </w:rPr>
        <w:t>’</w:t>
      </w:r>
      <w:r w:rsidR="006F3613" w:rsidRPr="00B71C0D">
        <w:rPr>
          <w:rFonts w:eastAsia="Times New Roman" w:cs="Segoe UI"/>
          <w:sz w:val="22"/>
          <w:szCs w:val="22"/>
          <w:lang w:eastAsia="en-GB"/>
        </w:rPr>
        <w:t xml:space="preserve"> </w:t>
      </w:r>
      <w:r>
        <w:rPr>
          <w:rFonts w:eastAsia="Times New Roman" w:cs="Segoe UI"/>
          <w:sz w:val="22"/>
          <w:szCs w:val="22"/>
          <w:lang w:eastAsia="en-GB"/>
        </w:rPr>
        <w:t>said Kelman</w:t>
      </w:r>
    </w:p>
    <w:p w14:paraId="723A9B9C" w14:textId="5425B2EF" w:rsidR="006F3613" w:rsidRPr="00B71C0D" w:rsidRDefault="00B71C0D" w:rsidP="006F3613">
      <w:pPr>
        <w:spacing w:before="100" w:beforeAutospacing="1" w:after="100" w:afterAutospacing="1" w:line="300" w:lineRule="atLeast"/>
        <w:rPr>
          <w:rFonts w:eastAsia="Times New Roman" w:cs="Segoe UI"/>
          <w:sz w:val="22"/>
          <w:szCs w:val="22"/>
          <w:lang w:eastAsia="en-GB"/>
        </w:rPr>
      </w:pPr>
      <w:r>
        <w:rPr>
          <w:rFonts w:eastAsia="Times New Roman" w:cs="Segoe UI"/>
          <w:sz w:val="22"/>
          <w:szCs w:val="22"/>
          <w:lang w:eastAsia="en-GB"/>
        </w:rPr>
        <w:t>‘</w:t>
      </w:r>
      <w:r w:rsidR="006F3613" w:rsidRPr="00B71C0D">
        <w:rPr>
          <w:rFonts w:eastAsia="Times New Roman" w:cs="Segoe UI"/>
          <w:sz w:val="22"/>
          <w:szCs w:val="22"/>
          <w:lang w:eastAsia="en-GB"/>
        </w:rPr>
        <w:t>In practice, mining approvals and environmental licences focus on managing local environmental risks, but they rarely require companies to seriously consider or adopt recycling pathways</w:t>
      </w:r>
      <w:r>
        <w:rPr>
          <w:rFonts w:eastAsia="Times New Roman" w:cs="Segoe UI"/>
          <w:sz w:val="22"/>
          <w:szCs w:val="22"/>
          <w:lang w:eastAsia="en-GB"/>
        </w:rPr>
        <w:t>, said Kelman</w:t>
      </w:r>
    </w:p>
    <w:p w14:paraId="4D7093DA" w14:textId="77777777" w:rsidR="006F3613" w:rsidRPr="00B71C0D" w:rsidRDefault="006F3613" w:rsidP="006F3613">
      <w:p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The report found that across all three states:</w:t>
      </w:r>
    </w:p>
    <w:p w14:paraId="72E4E67D" w14:textId="77777777" w:rsidR="006F3613" w:rsidRPr="00B71C0D" w:rsidRDefault="006F3613" w:rsidP="006F3613">
      <w:pPr>
        <w:numPr>
          <w:ilvl w:val="0"/>
          <w:numId w:val="1"/>
        </w:num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regulatory frameworks prioritise site-based risk management over resource recovery outcomes;</w:t>
      </w:r>
    </w:p>
    <w:p w14:paraId="526B3083" w14:textId="77777777" w:rsidR="006F3613" w:rsidRPr="00B71C0D" w:rsidRDefault="006F3613" w:rsidP="006F3613">
      <w:pPr>
        <w:numPr>
          <w:ilvl w:val="0"/>
          <w:numId w:val="1"/>
        </w:num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waste hierarchy principles are weakly applied in practice;</w:t>
      </w:r>
    </w:p>
    <w:p w14:paraId="7530E907" w14:textId="77777777" w:rsidR="006F3613" w:rsidRPr="00B71C0D" w:rsidRDefault="006F3613" w:rsidP="006F3613">
      <w:pPr>
        <w:numPr>
          <w:ilvl w:val="0"/>
          <w:numId w:val="1"/>
        </w:num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licence conditions rarely require or incentivise recycling; and</w:t>
      </w:r>
    </w:p>
    <w:p w14:paraId="7068B0C5" w14:textId="77777777" w:rsidR="006F3613" w:rsidRPr="00B71C0D" w:rsidRDefault="006F3613" w:rsidP="006F3613">
      <w:pPr>
        <w:numPr>
          <w:ilvl w:val="0"/>
          <w:numId w:val="1"/>
        </w:num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regulators have limited ability to mandate alternatives where disposal is deemed acceptable.</w:t>
      </w:r>
    </w:p>
    <w:p w14:paraId="7B525FBD" w14:textId="0F49C47B" w:rsidR="006F3613" w:rsidRPr="00B71C0D" w:rsidRDefault="006F3613" w:rsidP="006F3613">
      <w:p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At the same time, the report notes that market conditions have changed significantly. Australian recyclers</w:t>
      </w:r>
      <w:r w:rsidR="00B71C0D">
        <w:rPr>
          <w:rFonts w:eastAsia="Times New Roman" w:cs="Segoe UI"/>
          <w:sz w:val="22"/>
          <w:szCs w:val="22"/>
          <w:lang w:eastAsia="en-GB"/>
        </w:rPr>
        <w:t>, principally</w:t>
      </w:r>
      <w:r w:rsidRPr="00B71C0D">
        <w:rPr>
          <w:rFonts w:eastAsia="Times New Roman" w:cs="Segoe UI"/>
          <w:sz w:val="22"/>
          <w:szCs w:val="22"/>
          <w:lang w:eastAsia="en-GB"/>
        </w:rPr>
        <w:t xml:space="preserve"> ATRA members</w:t>
      </w:r>
      <w:r w:rsidR="00B71C0D">
        <w:rPr>
          <w:rFonts w:eastAsia="Times New Roman" w:cs="Segoe UI"/>
          <w:sz w:val="22"/>
          <w:szCs w:val="22"/>
          <w:lang w:eastAsia="en-GB"/>
        </w:rPr>
        <w:t xml:space="preserve">, </w:t>
      </w:r>
      <w:r w:rsidRPr="00B71C0D">
        <w:rPr>
          <w:rFonts w:eastAsia="Times New Roman" w:cs="Segoe UI"/>
          <w:sz w:val="22"/>
          <w:szCs w:val="22"/>
          <w:lang w:eastAsia="en-GB"/>
        </w:rPr>
        <w:t>now have the capacity to process large-scale mining tyres into valuable materials for domestic and international markets, including applications in civil construction, manufacturing and emerging tyre</w:t>
      </w:r>
      <w:r w:rsidRPr="00B71C0D">
        <w:rPr>
          <w:rFonts w:eastAsia="Times New Roman" w:cs="Segoe UI"/>
          <w:sz w:val="22"/>
          <w:szCs w:val="22"/>
          <w:lang w:eastAsia="en-GB"/>
        </w:rPr>
        <w:noBreakHyphen/>
        <w:t>to</w:t>
      </w:r>
      <w:r w:rsidRPr="00B71C0D">
        <w:rPr>
          <w:rFonts w:eastAsia="Times New Roman" w:cs="Segoe UI"/>
          <w:sz w:val="22"/>
          <w:szCs w:val="22"/>
          <w:lang w:eastAsia="en-GB"/>
        </w:rPr>
        <w:noBreakHyphen/>
        <w:t>tyre recycling supply chains.</w:t>
      </w:r>
    </w:p>
    <w:p w14:paraId="222FBE56" w14:textId="77777777" w:rsidR="006F3613" w:rsidRPr="00B71C0D" w:rsidRDefault="006F3613" w:rsidP="006F3613">
      <w:p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lastRenderedPageBreak/>
        <w:t>Despite this progress, current settings continue to favour in</w:t>
      </w:r>
      <w:r w:rsidRPr="00B71C0D">
        <w:rPr>
          <w:rFonts w:eastAsia="Times New Roman" w:cs="Segoe UI"/>
          <w:sz w:val="22"/>
          <w:szCs w:val="22"/>
          <w:lang w:eastAsia="en-GB"/>
        </w:rPr>
        <w:noBreakHyphen/>
        <w:t>pit disposal, undermining both industry investment and opportunities to recover valuable materials.</w:t>
      </w:r>
    </w:p>
    <w:p w14:paraId="1CA5B9A5" w14:textId="77777777" w:rsidR="006F3613" w:rsidRPr="00B71C0D" w:rsidRDefault="006F3613" w:rsidP="006F3613">
      <w:p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ATRA said the report identifies a clear pathway for reform, including:</w:t>
      </w:r>
    </w:p>
    <w:p w14:paraId="1CCF9E99" w14:textId="77777777" w:rsidR="006F3613" w:rsidRPr="00B71C0D" w:rsidRDefault="006F3613" w:rsidP="006F3613">
      <w:pPr>
        <w:numPr>
          <w:ilvl w:val="0"/>
          <w:numId w:val="2"/>
        </w:num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embedding stronger requirements for mining tyre management in approvals and licences;</w:t>
      </w:r>
    </w:p>
    <w:p w14:paraId="64041B23" w14:textId="77777777" w:rsidR="006F3613" w:rsidRPr="00B71C0D" w:rsidRDefault="006F3613" w:rsidP="006F3613">
      <w:pPr>
        <w:numPr>
          <w:ilvl w:val="0"/>
          <w:numId w:val="2"/>
        </w:num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clarifying how the waste hierarchy should be applied in mining operations;</w:t>
      </w:r>
    </w:p>
    <w:p w14:paraId="0C91F977" w14:textId="6908AD0B" w:rsidR="006F3613" w:rsidRDefault="006F3613" w:rsidP="006F3613">
      <w:pPr>
        <w:numPr>
          <w:ilvl w:val="0"/>
          <w:numId w:val="2"/>
        </w:num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 xml:space="preserve">updating regulations, policies and guidance to reflect current recycling capability; </w:t>
      </w:r>
    </w:p>
    <w:p w14:paraId="098053A8" w14:textId="36EE5D4B" w:rsidR="00B71C0D" w:rsidRPr="00B71C0D" w:rsidRDefault="00B71C0D" w:rsidP="006F3613">
      <w:pPr>
        <w:numPr>
          <w:ilvl w:val="0"/>
          <w:numId w:val="2"/>
        </w:numPr>
        <w:spacing w:before="100" w:beforeAutospacing="1" w:after="100" w:afterAutospacing="1" w:line="300" w:lineRule="atLeast"/>
        <w:rPr>
          <w:rFonts w:eastAsia="Times New Roman" w:cs="Segoe UI"/>
          <w:sz w:val="22"/>
          <w:szCs w:val="22"/>
          <w:lang w:eastAsia="en-GB"/>
        </w:rPr>
      </w:pPr>
      <w:r>
        <w:rPr>
          <w:rFonts w:eastAsia="Times New Roman" w:cs="Segoe UI"/>
          <w:sz w:val="22"/>
          <w:szCs w:val="22"/>
          <w:lang w:eastAsia="en-GB"/>
        </w:rPr>
        <w:t>requiring mining operations to thoroughly assess options for recycling rather than on site disposal, rather than just ‘tick the box’ in these assessments; and</w:t>
      </w:r>
    </w:p>
    <w:p w14:paraId="69060D3B" w14:textId="1DD5C4D2" w:rsidR="006F3613" w:rsidRPr="00B71C0D" w:rsidRDefault="00A104C1" w:rsidP="006F3613">
      <w:pPr>
        <w:spacing w:before="100" w:beforeAutospacing="1" w:after="100" w:afterAutospacing="1" w:line="300" w:lineRule="atLeast"/>
        <w:rPr>
          <w:rFonts w:eastAsia="Times New Roman" w:cs="Segoe UI"/>
          <w:sz w:val="22"/>
          <w:szCs w:val="22"/>
          <w:lang w:eastAsia="en-GB"/>
        </w:rPr>
      </w:pPr>
      <w:r>
        <w:rPr>
          <w:rFonts w:eastAsia="Times New Roman" w:cs="Segoe UI"/>
          <w:sz w:val="22"/>
          <w:szCs w:val="22"/>
          <w:lang w:eastAsia="en-GB"/>
        </w:rPr>
        <w:t>‘</w:t>
      </w:r>
      <w:r w:rsidR="006F3613" w:rsidRPr="00B71C0D">
        <w:rPr>
          <w:rFonts w:eastAsia="Times New Roman" w:cs="Segoe UI"/>
          <w:sz w:val="22"/>
          <w:szCs w:val="22"/>
          <w:lang w:eastAsia="en-GB"/>
        </w:rPr>
        <w:t>There is now a clear opportunity to modernise regulatory settings to reflect the capabilities of the recycling sector and the expectations of a circular economy,</w:t>
      </w:r>
      <w:r>
        <w:rPr>
          <w:rFonts w:eastAsia="Times New Roman" w:cs="Segoe UI"/>
          <w:sz w:val="22"/>
          <w:szCs w:val="22"/>
          <w:lang w:eastAsia="en-GB"/>
        </w:rPr>
        <w:t xml:space="preserve">’ </w:t>
      </w:r>
      <w:r w:rsidR="006F3613" w:rsidRPr="00B71C0D">
        <w:rPr>
          <w:rFonts w:eastAsia="Times New Roman" w:cs="Segoe UI"/>
          <w:sz w:val="22"/>
          <w:szCs w:val="22"/>
          <w:lang w:eastAsia="en-GB"/>
        </w:rPr>
        <w:t>said</w:t>
      </w:r>
      <w:r>
        <w:rPr>
          <w:rFonts w:eastAsia="Times New Roman" w:cs="Segoe UI"/>
          <w:sz w:val="22"/>
          <w:szCs w:val="22"/>
          <w:lang w:eastAsia="en-GB"/>
        </w:rPr>
        <w:t xml:space="preserve"> Kelman</w:t>
      </w:r>
      <w:r w:rsidR="006F3613" w:rsidRPr="00B71C0D">
        <w:rPr>
          <w:rFonts w:eastAsia="Times New Roman" w:cs="Segoe UI"/>
          <w:sz w:val="22"/>
          <w:szCs w:val="22"/>
          <w:lang w:eastAsia="en-GB"/>
        </w:rPr>
        <w:t>.</w:t>
      </w:r>
    </w:p>
    <w:p w14:paraId="283691D6" w14:textId="11FBFC12" w:rsidR="006F3613" w:rsidRPr="00B71C0D" w:rsidRDefault="006F3613" w:rsidP="006F3613">
      <w:p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With the right reforms, Australia can shift from a system that passively enables disposal to one that actively supports recovery</w:t>
      </w:r>
      <w:r w:rsidR="00A104C1">
        <w:rPr>
          <w:rFonts w:eastAsia="Times New Roman" w:cs="Segoe UI"/>
          <w:sz w:val="22"/>
          <w:szCs w:val="22"/>
          <w:lang w:eastAsia="en-GB"/>
        </w:rPr>
        <w:t xml:space="preserve">, </w:t>
      </w:r>
      <w:r w:rsidRPr="00B71C0D">
        <w:rPr>
          <w:rFonts w:eastAsia="Times New Roman" w:cs="Segoe UI"/>
          <w:sz w:val="22"/>
          <w:szCs w:val="22"/>
          <w:lang w:eastAsia="en-GB"/>
        </w:rPr>
        <w:t>unlocking existing investment, reducing long-term environmental liabilities and creating new economic value</w:t>
      </w:r>
      <w:r w:rsidR="00A104C1">
        <w:rPr>
          <w:rFonts w:eastAsia="Times New Roman" w:cs="Segoe UI"/>
          <w:sz w:val="22"/>
          <w:szCs w:val="22"/>
          <w:lang w:eastAsia="en-GB"/>
        </w:rPr>
        <w:t xml:space="preserve">, </w:t>
      </w:r>
      <w:proofErr w:type="gramStart"/>
      <w:r w:rsidR="00A104C1">
        <w:rPr>
          <w:rFonts w:eastAsia="Times New Roman" w:cs="Segoe UI"/>
          <w:sz w:val="22"/>
          <w:szCs w:val="22"/>
          <w:lang w:eastAsia="en-GB"/>
        </w:rPr>
        <w:t>‘ said</w:t>
      </w:r>
      <w:proofErr w:type="gramEnd"/>
      <w:r w:rsidR="00A104C1">
        <w:rPr>
          <w:rFonts w:eastAsia="Times New Roman" w:cs="Segoe UI"/>
          <w:sz w:val="22"/>
          <w:szCs w:val="22"/>
          <w:lang w:eastAsia="en-GB"/>
        </w:rPr>
        <w:t xml:space="preserve"> Kelman</w:t>
      </w:r>
    </w:p>
    <w:p w14:paraId="50858CD1" w14:textId="76632E66" w:rsidR="006F3613" w:rsidRDefault="006F3613" w:rsidP="006F3613">
      <w:pPr>
        <w:spacing w:before="100" w:beforeAutospacing="1" w:after="100" w:afterAutospacing="1" w:line="300" w:lineRule="atLeast"/>
        <w:rPr>
          <w:rFonts w:eastAsia="Times New Roman" w:cs="Segoe UI"/>
          <w:sz w:val="22"/>
          <w:szCs w:val="22"/>
          <w:lang w:eastAsia="en-GB"/>
        </w:rPr>
      </w:pPr>
      <w:r w:rsidRPr="00B71C0D">
        <w:rPr>
          <w:rFonts w:eastAsia="Times New Roman" w:cs="Segoe UI"/>
          <w:sz w:val="22"/>
          <w:szCs w:val="22"/>
          <w:lang w:eastAsia="en-GB"/>
        </w:rPr>
        <w:t xml:space="preserve">ATRA </w:t>
      </w:r>
      <w:r w:rsidR="00013DF6">
        <w:rPr>
          <w:rFonts w:eastAsia="Times New Roman" w:cs="Segoe UI"/>
          <w:sz w:val="22"/>
          <w:szCs w:val="22"/>
          <w:lang w:eastAsia="en-GB"/>
        </w:rPr>
        <w:t>is</w:t>
      </w:r>
      <w:r w:rsidRPr="00B71C0D">
        <w:rPr>
          <w:rFonts w:eastAsia="Times New Roman" w:cs="Segoe UI"/>
          <w:sz w:val="22"/>
          <w:szCs w:val="22"/>
          <w:lang w:eastAsia="en-GB"/>
        </w:rPr>
        <w:t xml:space="preserve"> engaging with governments, regulators and industry stakeholders to progress practical reforms that improve recovery outcomes for mining tyres and better align the sector with national resource recovery objectives.</w:t>
      </w:r>
    </w:p>
    <w:p w14:paraId="223704B2" w14:textId="2D8A1DD2" w:rsidR="00013DF6" w:rsidRDefault="00013DF6" w:rsidP="00013DF6">
      <w:pPr>
        <w:spacing w:line="300" w:lineRule="atLeast"/>
        <w:rPr>
          <w:rFonts w:eastAsia="Times New Roman" w:cs="Segoe UI"/>
          <w:sz w:val="22"/>
          <w:szCs w:val="22"/>
          <w:lang w:eastAsia="en-GB"/>
        </w:rPr>
      </w:pPr>
      <w:r>
        <w:rPr>
          <w:rFonts w:eastAsia="Times New Roman" w:cs="Segoe UI"/>
          <w:sz w:val="22"/>
          <w:szCs w:val="22"/>
          <w:lang w:eastAsia="en-GB"/>
        </w:rPr>
        <w:t>Robert Kelman, Executive Officer, ATRA</w:t>
      </w:r>
    </w:p>
    <w:p w14:paraId="79FF9F9A" w14:textId="45AEA922" w:rsidR="00013DF6" w:rsidRDefault="00013DF6" w:rsidP="00013DF6">
      <w:pPr>
        <w:spacing w:line="300" w:lineRule="atLeast"/>
        <w:rPr>
          <w:rFonts w:eastAsia="Times New Roman" w:cs="Segoe UI"/>
          <w:sz w:val="22"/>
          <w:szCs w:val="22"/>
          <w:lang w:eastAsia="en-GB"/>
        </w:rPr>
      </w:pPr>
      <w:r>
        <w:rPr>
          <w:rFonts w:eastAsia="Times New Roman" w:cs="Segoe UI"/>
          <w:sz w:val="22"/>
          <w:szCs w:val="22"/>
          <w:lang w:eastAsia="en-GB"/>
        </w:rPr>
        <w:t>0423573278</w:t>
      </w:r>
    </w:p>
    <w:p w14:paraId="37FDB11F" w14:textId="619DDE61" w:rsidR="00B70875" w:rsidRPr="00B71C0D" w:rsidRDefault="00B70875" w:rsidP="00013DF6">
      <w:pPr>
        <w:spacing w:line="300" w:lineRule="atLeast"/>
        <w:rPr>
          <w:rFonts w:eastAsia="Times New Roman" w:cs="Segoe UI"/>
          <w:sz w:val="22"/>
          <w:szCs w:val="22"/>
          <w:lang w:eastAsia="en-GB"/>
        </w:rPr>
      </w:pPr>
      <w:r>
        <w:rPr>
          <w:rFonts w:eastAsia="Times New Roman" w:cs="Segoe UI"/>
          <w:sz w:val="22"/>
          <w:szCs w:val="22"/>
          <w:lang w:eastAsia="en-GB"/>
        </w:rPr>
        <w:t>(A copy of the report and a summary of this are both available on request)</w:t>
      </w:r>
    </w:p>
    <w:p w14:paraId="5A1A1696" w14:textId="77777777" w:rsidR="00991440" w:rsidRPr="00B71C0D" w:rsidRDefault="00991440">
      <w:pPr>
        <w:rPr>
          <w:sz w:val="22"/>
          <w:szCs w:val="22"/>
        </w:rPr>
      </w:pPr>
    </w:p>
    <w:sectPr w:rsidR="00991440" w:rsidRPr="00B71C0D" w:rsidSect="00B71C0D">
      <w:headerReference w:type="default" r:id="rId7"/>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0E70" w14:textId="77777777" w:rsidR="004C167F" w:rsidRDefault="004C167F" w:rsidP="00B71C0D">
      <w:r>
        <w:separator/>
      </w:r>
    </w:p>
  </w:endnote>
  <w:endnote w:type="continuationSeparator" w:id="0">
    <w:p w14:paraId="19D08031" w14:textId="77777777" w:rsidR="004C167F" w:rsidRDefault="004C167F" w:rsidP="00B7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CC2E" w14:textId="77777777" w:rsidR="004C167F" w:rsidRDefault="004C167F" w:rsidP="00B71C0D">
      <w:r>
        <w:separator/>
      </w:r>
    </w:p>
  </w:footnote>
  <w:footnote w:type="continuationSeparator" w:id="0">
    <w:p w14:paraId="7A5409E1" w14:textId="77777777" w:rsidR="004C167F" w:rsidRDefault="004C167F" w:rsidP="00B7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C267" w14:textId="04F536D1" w:rsidR="00B71C0D" w:rsidRDefault="00B71C0D" w:rsidP="00B71C0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62EC" w14:textId="0CF4508A" w:rsidR="00B71C0D" w:rsidRDefault="00B71C0D" w:rsidP="00B71C0D">
    <w:pPr>
      <w:pStyle w:val="Header"/>
      <w:jc w:val="right"/>
    </w:pPr>
    <w:r>
      <w:rPr>
        <w:noProof/>
      </w:rPr>
      <w:drawing>
        <wp:inline distT="0" distB="0" distL="0" distR="0" wp14:anchorId="13C26745" wp14:editId="24009131">
          <wp:extent cx="901062" cy="712382"/>
          <wp:effectExtent l="0" t="0" r="1270" b="0"/>
          <wp:docPr id="996648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83397" name="Picture 1966783397"/>
                  <pic:cNvPicPr/>
                </pic:nvPicPr>
                <pic:blipFill rotWithShape="1">
                  <a:blip r:embed="rId1">
                    <a:extLst>
                      <a:ext uri="{28A0092B-C50C-407E-A947-70E740481C1C}">
                        <a14:useLocalDpi xmlns:a14="http://schemas.microsoft.com/office/drawing/2010/main" val="0"/>
                      </a:ext>
                    </a:extLst>
                  </a:blip>
                  <a:srcRect l="31194" t="29412" r="30749" b="28022"/>
                  <a:stretch>
                    <a:fillRect/>
                  </a:stretch>
                </pic:blipFill>
                <pic:spPr bwMode="auto">
                  <a:xfrm>
                    <a:off x="0" y="0"/>
                    <a:ext cx="919673" cy="72709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E5F9C"/>
    <w:multiLevelType w:val="multilevel"/>
    <w:tmpl w:val="80F6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F1225"/>
    <w:multiLevelType w:val="multilevel"/>
    <w:tmpl w:val="8912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944339">
    <w:abstractNumId w:val="0"/>
  </w:num>
  <w:num w:numId="2" w16cid:durableId="104282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13"/>
    <w:rsid w:val="00013DF6"/>
    <w:rsid w:val="00096109"/>
    <w:rsid w:val="004C167F"/>
    <w:rsid w:val="006D26F6"/>
    <w:rsid w:val="006F3613"/>
    <w:rsid w:val="00991440"/>
    <w:rsid w:val="00A104C1"/>
    <w:rsid w:val="00A55C72"/>
    <w:rsid w:val="00B70875"/>
    <w:rsid w:val="00B71C0D"/>
    <w:rsid w:val="00BA7AC3"/>
    <w:rsid w:val="00C50BF6"/>
    <w:rsid w:val="00E5117F"/>
    <w:rsid w:val="00F45C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2191054"/>
  <w15:chartTrackingRefBased/>
  <w15:docId w15:val="{4D1044A4-6115-E640-94FA-58B4294C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3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6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6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6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6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3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613"/>
    <w:rPr>
      <w:rFonts w:eastAsiaTheme="majorEastAsia" w:cstheme="majorBidi"/>
      <w:color w:val="272727" w:themeColor="text1" w:themeTint="D8"/>
    </w:rPr>
  </w:style>
  <w:style w:type="paragraph" w:styleId="Title">
    <w:name w:val="Title"/>
    <w:basedOn w:val="Normal"/>
    <w:next w:val="Normal"/>
    <w:link w:val="TitleChar"/>
    <w:uiPriority w:val="10"/>
    <w:qFormat/>
    <w:rsid w:val="006F36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6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6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3613"/>
    <w:rPr>
      <w:i/>
      <w:iCs/>
      <w:color w:val="404040" w:themeColor="text1" w:themeTint="BF"/>
    </w:rPr>
  </w:style>
  <w:style w:type="paragraph" w:styleId="ListParagraph">
    <w:name w:val="List Paragraph"/>
    <w:basedOn w:val="Normal"/>
    <w:uiPriority w:val="34"/>
    <w:qFormat/>
    <w:rsid w:val="006F3613"/>
    <w:pPr>
      <w:ind w:left="720"/>
      <w:contextualSpacing/>
    </w:pPr>
  </w:style>
  <w:style w:type="character" w:styleId="IntenseEmphasis">
    <w:name w:val="Intense Emphasis"/>
    <w:basedOn w:val="DefaultParagraphFont"/>
    <w:uiPriority w:val="21"/>
    <w:qFormat/>
    <w:rsid w:val="006F3613"/>
    <w:rPr>
      <w:i/>
      <w:iCs/>
      <w:color w:val="0F4761" w:themeColor="accent1" w:themeShade="BF"/>
    </w:rPr>
  </w:style>
  <w:style w:type="paragraph" w:styleId="IntenseQuote">
    <w:name w:val="Intense Quote"/>
    <w:basedOn w:val="Normal"/>
    <w:next w:val="Normal"/>
    <w:link w:val="IntenseQuoteChar"/>
    <w:uiPriority w:val="30"/>
    <w:qFormat/>
    <w:rsid w:val="006F3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613"/>
    <w:rPr>
      <w:i/>
      <w:iCs/>
      <w:color w:val="0F4761" w:themeColor="accent1" w:themeShade="BF"/>
    </w:rPr>
  </w:style>
  <w:style w:type="character" w:styleId="IntenseReference">
    <w:name w:val="Intense Reference"/>
    <w:basedOn w:val="DefaultParagraphFont"/>
    <w:uiPriority w:val="32"/>
    <w:qFormat/>
    <w:rsid w:val="006F3613"/>
    <w:rPr>
      <w:b/>
      <w:bCs/>
      <w:smallCaps/>
      <w:color w:val="0F4761" w:themeColor="accent1" w:themeShade="BF"/>
      <w:spacing w:val="5"/>
    </w:rPr>
  </w:style>
  <w:style w:type="character" w:styleId="Strong">
    <w:name w:val="Strong"/>
    <w:basedOn w:val="DefaultParagraphFont"/>
    <w:uiPriority w:val="22"/>
    <w:qFormat/>
    <w:rsid w:val="006F3613"/>
    <w:rPr>
      <w:b/>
      <w:bCs/>
    </w:rPr>
  </w:style>
  <w:style w:type="paragraph" w:styleId="NormalWeb">
    <w:name w:val="Normal (Web)"/>
    <w:basedOn w:val="Normal"/>
    <w:uiPriority w:val="99"/>
    <w:semiHidden/>
    <w:unhideWhenUsed/>
    <w:rsid w:val="006F361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71C0D"/>
    <w:pPr>
      <w:tabs>
        <w:tab w:val="center" w:pos="4513"/>
        <w:tab w:val="right" w:pos="9026"/>
      </w:tabs>
    </w:pPr>
  </w:style>
  <w:style w:type="character" w:customStyle="1" w:styleId="HeaderChar">
    <w:name w:val="Header Char"/>
    <w:basedOn w:val="DefaultParagraphFont"/>
    <w:link w:val="Header"/>
    <w:uiPriority w:val="99"/>
    <w:rsid w:val="00B71C0D"/>
  </w:style>
  <w:style w:type="paragraph" w:styleId="Footer">
    <w:name w:val="footer"/>
    <w:basedOn w:val="Normal"/>
    <w:link w:val="FooterChar"/>
    <w:uiPriority w:val="99"/>
    <w:unhideWhenUsed/>
    <w:rsid w:val="00B71C0D"/>
    <w:pPr>
      <w:tabs>
        <w:tab w:val="center" w:pos="4513"/>
        <w:tab w:val="right" w:pos="9026"/>
      </w:tabs>
    </w:pPr>
  </w:style>
  <w:style w:type="character" w:customStyle="1" w:styleId="FooterChar">
    <w:name w:val="Footer Char"/>
    <w:basedOn w:val="DefaultParagraphFont"/>
    <w:link w:val="Footer"/>
    <w:uiPriority w:val="99"/>
    <w:rsid w:val="00B7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3246</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Kelman</dc:creator>
  <cp:keywords/>
  <dc:description/>
  <cp:lastModifiedBy>Robert Kelman</cp:lastModifiedBy>
  <cp:revision>3</cp:revision>
  <dcterms:created xsi:type="dcterms:W3CDTF">2026-06-29T06:05:00Z</dcterms:created>
  <dcterms:modified xsi:type="dcterms:W3CDTF">2026-06-29T06:06:00Z</dcterms:modified>
</cp:coreProperties>
</file>